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1731" w14:textId="77777777" w:rsidR="00D06535" w:rsidRDefault="00FC79F0" w:rsidP="00FD167E">
      <w:pPr>
        <w:pStyle w:val="a3"/>
        <w:jc w:val="center"/>
      </w:pPr>
      <w:r>
        <w:rPr>
          <w:lang w:val="en-US"/>
        </w:rPr>
        <w:t>Corporate action notice/Insider information disclosure</w:t>
      </w:r>
    </w:p>
    <w:p w14:paraId="2BC885BF" w14:textId="77777777" w:rsidR="00D06535" w:rsidRDefault="00FC79F0" w:rsidP="00FD167E">
      <w:pPr>
        <w:pStyle w:val="a3"/>
        <w:jc w:val="center"/>
      </w:pPr>
      <w:r>
        <w:rPr>
          <w:lang w:val="en-US"/>
        </w:rPr>
        <w:t>"On acquisition of the right (termination of the right) to dispose of a certain number of votes assigned to the voting shares that constitute the Issuer's authorized capital"</w:t>
      </w:r>
    </w:p>
    <w:p w14:paraId="46BFCD26" w14:textId="77777777" w:rsidR="00D06535" w:rsidRPr="00FD167E" w:rsidRDefault="00FC79F0" w:rsidP="00FD167E">
      <w:pPr>
        <w:rPr>
          <w:b/>
          <w:sz w:val="10"/>
          <w:szCs w:val="10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4"/>
        <w:gridCol w:w="1027"/>
        <w:gridCol w:w="1347"/>
        <w:gridCol w:w="1388"/>
        <w:gridCol w:w="734"/>
        <w:gridCol w:w="1480"/>
        <w:gridCol w:w="2930"/>
      </w:tblGrid>
      <w:tr w:rsidR="004C5776" w14:paraId="4AB74826" w14:textId="77777777" w:rsidTr="00FD167E">
        <w:trPr>
          <w:trHeight w:val="20"/>
        </w:trPr>
        <w:tc>
          <w:tcPr>
            <w:tcW w:w="5000" w:type="pct"/>
            <w:gridSpan w:val="7"/>
          </w:tcPr>
          <w:p w14:paraId="472DFFB3" w14:textId="77777777" w:rsidR="00D06535" w:rsidRDefault="00FC79F0" w:rsidP="00FD167E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1. General</w:t>
            </w:r>
          </w:p>
        </w:tc>
      </w:tr>
      <w:tr w:rsidR="004C5776" w14:paraId="6A6CF633" w14:textId="77777777" w:rsidTr="00FD167E">
        <w:trPr>
          <w:trHeight w:val="20"/>
        </w:trPr>
        <w:tc>
          <w:tcPr>
            <w:tcW w:w="2455" w:type="pct"/>
            <w:gridSpan w:val="4"/>
          </w:tcPr>
          <w:p w14:paraId="7457B6A3" w14:textId="77777777" w:rsidR="00FD167E" w:rsidRDefault="00FC79F0" w:rsidP="00FD167E">
            <w:pPr>
              <w:pStyle w:val="TableParagraph"/>
              <w:ind w:left="0"/>
              <w:rPr>
                <w:sz w:val="23"/>
              </w:rPr>
            </w:pPr>
            <w:r w:rsidRPr="00FD167E">
              <w:rPr>
                <w:sz w:val="23"/>
                <w:lang w:val="en-US"/>
              </w:rPr>
              <w:t xml:space="preserve">1.1. </w:t>
            </w:r>
            <w:r w:rsidRPr="00FD167E">
              <w:rPr>
                <w:sz w:val="23"/>
                <w:lang w:val="en-US"/>
              </w:rPr>
              <w:t>Full corporate name of the Issuer</w:t>
            </w:r>
          </w:p>
        </w:tc>
        <w:tc>
          <w:tcPr>
            <w:tcW w:w="2545" w:type="pct"/>
            <w:gridSpan w:val="3"/>
          </w:tcPr>
          <w:p w14:paraId="64068D70" w14:textId="77777777" w:rsidR="00FD167E" w:rsidRDefault="00FC79F0" w:rsidP="00FD167E">
            <w:pPr>
              <w:pStyle w:val="TableParagraph"/>
              <w:tabs>
                <w:tab w:val="left" w:pos="1941"/>
                <w:tab w:val="left" w:pos="3956"/>
              </w:tabs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Public Joint Stock Company "Interregional Distribution Grid Company of the South”</w:t>
            </w:r>
          </w:p>
        </w:tc>
      </w:tr>
      <w:tr w:rsidR="004C5776" w14:paraId="5033857F" w14:textId="77777777" w:rsidTr="00FD167E">
        <w:trPr>
          <w:trHeight w:val="20"/>
        </w:trPr>
        <w:tc>
          <w:tcPr>
            <w:tcW w:w="2455" w:type="pct"/>
            <w:gridSpan w:val="4"/>
          </w:tcPr>
          <w:p w14:paraId="712DEDAC" w14:textId="77777777" w:rsidR="00D06535" w:rsidRDefault="00FC79F0" w:rsidP="00FD167E">
            <w:pPr>
              <w:pStyle w:val="TableParagraph"/>
              <w:tabs>
                <w:tab w:val="left" w:pos="2062"/>
                <w:tab w:val="left" w:pos="3364"/>
              </w:tabs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14:paraId="0A03D5F3" w14:textId="77777777" w:rsidR="00D06535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IDGC of the South, PJSC</w:t>
            </w:r>
          </w:p>
        </w:tc>
      </w:tr>
      <w:tr w:rsidR="004C5776" w14:paraId="501CAF9E" w14:textId="77777777" w:rsidTr="00FD167E">
        <w:trPr>
          <w:trHeight w:val="20"/>
        </w:trPr>
        <w:tc>
          <w:tcPr>
            <w:tcW w:w="2455" w:type="pct"/>
            <w:gridSpan w:val="4"/>
          </w:tcPr>
          <w:p w14:paraId="63953825" w14:textId="77777777" w:rsidR="00D06535" w:rsidRDefault="00FC79F0" w:rsidP="00FD167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>1.3. Location of the Issuer</w:t>
            </w:r>
          </w:p>
        </w:tc>
        <w:tc>
          <w:tcPr>
            <w:tcW w:w="2545" w:type="pct"/>
            <w:gridSpan w:val="3"/>
          </w:tcPr>
          <w:p w14:paraId="6E97C991" w14:textId="77777777" w:rsidR="00D06535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 xml:space="preserve">Rostov-on-Don, Russian </w:t>
            </w:r>
            <w:r>
              <w:rPr>
                <w:b/>
                <w:sz w:val="23"/>
                <w:lang w:val="en-US"/>
              </w:rPr>
              <w:t>Federation</w:t>
            </w:r>
          </w:p>
        </w:tc>
      </w:tr>
      <w:tr w:rsidR="004C5776" w14:paraId="1FF49AEE" w14:textId="77777777" w:rsidTr="00FD167E">
        <w:trPr>
          <w:trHeight w:val="20"/>
        </w:trPr>
        <w:tc>
          <w:tcPr>
            <w:tcW w:w="2455" w:type="pct"/>
            <w:gridSpan w:val="4"/>
          </w:tcPr>
          <w:p w14:paraId="778A289F" w14:textId="77777777" w:rsidR="00D06535" w:rsidRDefault="00FC79F0" w:rsidP="00FD167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14:paraId="0A454F01" w14:textId="77777777" w:rsidR="00D06535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1076164009096</w:t>
            </w:r>
          </w:p>
        </w:tc>
      </w:tr>
      <w:tr w:rsidR="004C5776" w14:paraId="193BD9EC" w14:textId="77777777" w:rsidTr="00FD167E">
        <w:trPr>
          <w:trHeight w:val="20"/>
        </w:trPr>
        <w:tc>
          <w:tcPr>
            <w:tcW w:w="2455" w:type="pct"/>
            <w:gridSpan w:val="4"/>
          </w:tcPr>
          <w:p w14:paraId="05E84D78" w14:textId="77777777" w:rsidR="00D06535" w:rsidRDefault="00FC79F0" w:rsidP="00FD167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14:paraId="3BF0A021" w14:textId="77777777" w:rsidR="00D06535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6164266561</w:t>
            </w:r>
          </w:p>
        </w:tc>
      </w:tr>
      <w:tr w:rsidR="004C5776" w14:paraId="60139647" w14:textId="77777777" w:rsidTr="00FD167E">
        <w:trPr>
          <w:trHeight w:val="20"/>
        </w:trPr>
        <w:tc>
          <w:tcPr>
            <w:tcW w:w="2455" w:type="pct"/>
            <w:gridSpan w:val="4"/>
          </w:tcPr>
          <w:p w14:paraId="2823F499" w14:textId="77777777" w:rsidR="00D06535" w:rsidRDefault="00FC79F0" w:rsidP="00FD167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14:paraId="066B5E76" w14:textId="77777777" w:rsidR="00D06535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34956-Е</w:t>
            </w:r>
          </w:p>
        </w:tc>
      </w:tr>
      <w:tr w:rsidR="004C5776" w14:paraId="33FE812D" w14:textId="77777777" w:rsidTr="00FD167E">
        <w:trPr>
          <w:trHeight w:val="20"/>
        </w:trPr>
        <w:tc>
          <w:tcPr>
            <w:tcW w:w="2455" w:type="pct"/>
            <w:gridSpan w:val="4"/>
          </w:tcPr>
          <w:p w14:paraId="6A791195" w14:textId="77777777" w:rsidR="00FD167E" w:rsidRDefault="00FC79F0" w:rsidP="00FD167E">
            <w:pPr>
              <w:pStyle w:val="TableParagraph"/>
              <w:ind w:left="0"/>
              <w:rPr>
                <w:sz w:val="23"/>
              </w:rPr>
            </w:pPr>
            <w:r w:rsidRPr="00FD167E">
              <w:rPr>
                <w:sz w:val="23"/>
                <w:lang w:val="en-US"/>
              </w:rPr>
              <w:t xml:space="preserve">1.7. The addresses of the Internet pages used by the Issuer for information </w:t>
            </w:r>
            <w:r w:rsidRPr="00FD167E">
              <w:rPr>
                <w:sz w:val="23"/>
                <w:lang w:val="en-US"/>
              </w:rPr>
              <w:t>disclosures</w:t>
            </w:r>
          </w:p>
        </w:tc>
        <w:tc>
          <w:tcPr>
            <w:tcW w:w="2545" w:type="pct"/>
            <w:gridSpan w:val="3"/>
            <w:vAlign w:val="center"/>
          </w:tcPr>
          <w:p w14:paraId="41A481A2" w14:textId="77777777" w:rsidR="00FD167E" w:rsidRPr="00FD167E" w:rsidRDefault="00FC79F0" w:rsidP="00FD167E">
            <w:pPr>
              <w:pStyle w:val="TableParagraph"/>
              <w:ind w:left="0"/>
              <w:rPr>
                <w:b/>
                <w:sz w:val="23"/>
                <w:u w:val="single"/>
              </w:rPr>
            </w:pPr>
            <w:hyperlink r:id="rId5" w:history="1">
              <w:r w:rsidRPr="00FD167E">
                <w:rPr>
                  <w:b/>
                  <w:sz w:val="23"/>
                  <w:u w:val="single"/>
                  <w:lang w:val="en-US"/>
                </w:rPr>
                <w:t>http://www.mrsk-yuga.ru</w:t>
              </w:r>
            </w:hyperlink>
            <w:r w:rsidRPr="00FD167E">
              <w:rPr>
                <w:b/>
                <w:sz w:val="23"/>
                <w:u w:val="single"/>
                <w:lang w:val="en-US"/>
              </w:rPr>
              <w:t xml:space="preserve"> </w:t>
            </w:r>
          </w:p>
          <w:p w14:paraId="5F0DEB08" w14:textId="77777777" w:rsidR="00FD167E" w:rsidRPr="00FD167E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hyperlink r:id="rId6" w:history="1">
              <w:r w:rsidRPr="00FD167E">
                <w:rPr>
                  <w:b/>
                  <w:sz w:val="23"/>
                  <w:u w:val="single"/>
                  <w:lang w:val="en-US"/>
                </w:rPr>
                <w:t>http://www.e-</w:t>
              </w:r>
            </w:hyperlink>
            <w:hyperlink r:id="rId7" w:history="1">
              <w:r w:rsidRPr="00FD167E">
                <w:rPr>
                  <w:b/>
                  <w:sz w:val="23"/>
                  <w:u w:val="single"/>
                  <w:lang w:val="en-US"/>
                </w:rPr>
                <w:t>disclosure.ru/portal/com</w:t>
              </w:r>
              <w:r w:rsidRPr="00FD167E">
                <w:rPr>
                  <w:b/>
                  <w:sz w:val="23"/>
                  <w:u w:val="single"/>
                  <w:lang w:val="en-US"/>
                </w:rPr>
                <w:t>pany.aspx?id=11999</w:t>
              </w:r>
            </w:hyperlink>
          </w:p>
        </w:tc>
      </w:tr>
      <w:tr w:rsidR="004C5776" w14:paraId="10012853" w14:textId="77777777" w:rsidTr="00FD167E">
        <w:trPr>
          <w:trHeight w:val="20"/>
        </w:trPr>
        <w:tc>
          <w:tcPr>
            <w:tcW w:w="2455" w:type="pct"/>
            <w:gridSpan w:val="4"/>
          </w:tcPr>
          <w:p w14:paraId="45AE6B12" w14:textId="77777777" w:rsidR="00D06535" w:rsidRDefault="00FC79F0" w:rsidP="00FD167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4F4E7591" w14:textId="77777777" w:rsidR="00D06535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September 25, 2019</w:t>
            </w:r>
          </w:p>
        </w:tc>
      </w:tr>
      <w:tr w:rsidR="004C5776" w14:paraId="7416B811" w14:textId="77777777" w:rsidTr="00FD167E">
        <w:trPr>
          <w:trHeight w:val="20"/>
        </w:trPr>
        <w:tc>
          <w:tcPr>
            <w:tcW w:w="5000" w:type="pct"/>
            <w:gridSpan w:val="7"/>
          </w:tcPr>
          <w:p w14:paraId="1774BA2B" w14:textId="77777777" w:rsidR="00D06535" w:rsidRDefault="00FC79F0" w:rsidP="00FD167E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2. Notice content: "On acquisition of the right of termination of the right to dispose of a certain number of votes </w:t>
            </w:r>
            <w:r>
              <w:rPr>
                <w:sz w:val="23"/>
                <w:lang w:val="en-US"/>
              </w:rPr>
              <w:t>assigned to the voting shares that constitute the Issuer's authorized capital"</w:t>
            </w:r>
          </w:p>
        </w:tc>
      </w:tr>
      <w:tr w:rsidR="004C5776" w14:paraId="49EA9541" w14:textId="77777777" w:rsidTr="00037F7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26A06A13" w14:textId="77777777" w:rsidR="00FD167E" w:rsidRDefault="00FC79F0" w:rsidP="00FD167E">
            <w:pPr>
              <w:pStyle w:val="TableParagraph"/>
              <w:numPr>
                <w:ilvl w:val="1"/>
                <w:numId w:val="2"/>
              </w:numPr>
              <w:tabs>
                <w:tab w:val="left" w:pos="574"/>
              </w:tabs>
              <w:ind w:left="0" w:firstLine="0"/>
              <w:jc w:val="both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Full corporate name (for non-profit organization - name), location, TIN (if applicable), OGRN (if applicable) of the legal entity or the surname, name, second name (if any) </w:t>
            </w:r>
            <w:r>
              <w:rPr>
                <w:sz w:val="23"/>
                <w:lang w:val="en-US"/>
              </w:rPr>
              <w:t>of the individual who acquired the right to a certain number of votes assigned to the voting shares (stakes) that constitute the Issuer's authorized capital</w:t>
            </w:r>
          </w:p>
          <w:p w14:paraId="73122527" w14:textId="77777777" w:rsidR="00FD167E" w:rsidRDefault="00FC79F0" w:rsidP="00FD167E">
            <w:pPr>
              <w:pStyle w:val="TableParagraph"/>
              <w:ind w:left="0"/>
              <w:rPr>
                <w:sz w:val="23"/>
              </w:rPr>
            </w:pPr>
            <w:r>
              <w:rPr>
                <w:b/>
                <w:sz w:val="23"/>
                <w:lang w:val="en-US"/>
              </w:rPr>
              <w:t xml:space="preserve">Full corporate name: </w:t>
            </w:r>
            <w:r>
              <w:rPr>
                <w:sz w:val="23"/>
                <w:lang w:val="en-US"/>
              </w:rPr>
              <w:t xml:space="preserve">The Russian Prosperity Fund </w:t>
            </w:r>
            <w:r>
              <w:rPr>
                <w:b/>
                <w:sz w:val="23"/>
                <w:lang w:val="en-US"/>
              </w:rPr>
              <w:t xml:space="preserve">Location: </w:t>
            </w:r>
            <w:r>
              <w:rPr>
                <w:sz w:val="23"/>
                <w:lang w:val="en-US"/>
              </w:rPr>
              <w:t>Windward 1, Regatta Office Park, Grand C</w:t>
            </w:r>
            <w:r>
              <w:rPr>
                <w:sz w:val="23"/>
                <w:lang w:val="en-US"/>
              </w:rPr>
              <w:t>ayman, Cayman Islands</w:t>
            </w:r>
          </w:p>
          <w:p w14:paraId="1A284999" w14:textId="77777777" w:rsidR="00FD167E" w:rsidRDefault="00FC79F0" w:rsidP="00FD167E">
            <w:pPr>
              <w:pStyle w:val="TableParagraph"/>
              <w:ind w:left="0"/>
              <w:jc w:val="both"/>
              <w:rPr>
                <w:sz w:val="23"/>
              </w:rPr>
            </w:pPr>
            <w:r>
              <w:rPr>
                <w:b/>
                <w:sz w:val="23"/>
                <w:lang w:val="en-US"/>
              </w:rPr>
              <w:t xml:space="preserve">TIN: </w:t>
            </w:r>
            <w:r>
              <w:rPr>
                <w:sz w:val="23"/>
                <w:lang w:val="en-US"/>
              </w:rPr>
              <w:t>not applicable.</w:t>
            </w:r>
          </w:p>
          <w:p w14:paraId="169C32F3" w14:textId="77777777" w:rsidR="00FD167E" w:rsidRDefault="00FC79F0" w:rsidP="00FD167E">
            <w:pPr>
              <w:pStyle w:val="TableParagraph"/>
              <w:ind w:left="0"/>
              <w:jc w:val="both"/>
              <w:rPr>
                <w:sz w:val="23"/>
              </w:rPr>
            </w:pPr>
            <w:r>
              <w:rPr>
                <w:b/>
                <w:sz w:val="23"/>
                <w:lang w:val="en-US"/>
              </w:rPr>
              <w:t xml:space="preserve">OGRN: </w:t>
            </w:r>
            <w:r>
              <w:rPr>
                <w:sz w:val="23"/>
                <w:lang w:val="en-US"/>
              </w:rPr>
              <w:t>not applicable.</w:t>
            </w:r>
          </w:p>
          <w:p w14:paraId="015B48E2" w14:textId="77777777" w:rsidR="00FD167E" w:rsidRDefault="00FC79F0" w:rsidP="00FD167E">
            <w:pPr>
              <w:pStyle w:val="TableParagraph"/>
              <w:numPr>
                <w:ilvl w:val="1"/>
                <w:numId w:val="2"/>
              </w:numPr>
              <w:tabs>
                <w:tab w:val="left" w:pos="727"/>
              </w:tabs>
              <w:ind w:left="0" w:firstLine="0"/>
              <w:jc w:val="both"/>
              <w:rPr>
                <w:b/>
                <w:sz w:val="23"/>
              </w:rPr>
            </w:pPr>
            <w:r>
              <w:rPr>
                <w:sz w:val="23"/>
                <w:lang w:val="en-US"/>
              </w:rPr>
              <w:t>Type of the right to dispose a certain number of votes assigned to voting shares (stakes) that constitute the Issuer's authorized capital, which the respective entity acquired (direct disposi</w:t>
            </w:r>
            <w:r>
              <w:rPr>
                <w:sz w:val="23"/>
                <w:lang w:val="en-US"/>
              </w:rPr>
              <w:t xml:space="preserve">tion; indirect disposition): </w:t>
            </w:r>
            <w:r>
              <w:rPr>
                <w:b/>
                <w:sz w:val="23"/>
                <w:lang w:val="en-US"/>
              </w:rPr>
              <w:t>Direct disposition.</w:t>
            </w:r>
          </w:p>
          <w:p w14:paraId="2607A6D9" w14:textId="77777777" w:rsidR="00FD167E" w:rsidRDefault="00FC79F0" w:rsidP="00FD167E">
            <w:pPr>
              <w:pStyle w:val="TableParagraph"/>
              <w:numPr>
                <w:ilvl w:val="1"/>
                <w:numId w:val="2"/>
              </w:numPr>
              <w:tabs>
                <w:tab w:val="left" w:pos="639"/>
              </w:tabs>
              <w:ind w:left="0" w:firstLine="0"/>
              <w:jc w:val="both"/>
              <w:rPr>
                <w:b/>
                <w:sz w:val="23"/>
              </w:rPr>
            </w:pPr>
            <w:r>
              <w:rPr>
                <w:sz w:val="23"/>
                <w:lang w:val="en-US"/>
              </w:rPr>
              <w:t>Consistently, all entities controlled by such entity (chain of entities under direct or indirect control of such entity), through which such entity acquired the right to indirectly dispose of a certain numbe</w:t>
            </w:r>
            <w:r>
              <w:rPr>
                <w:sz w:val="23"/>
                <w:lang w:val="en-US"/>
              </w:rPr>
              <w:t xml:space="preserve">r of votes assigned to voting shares (stakes) that constitute the Issuer's authorized capital. The full corporate name, location, TIN (if applicable), OGRN (if applicable) shall be indicated for each such organization: </w:t>
            </w:r>
            <w:r>
              <w:rPr>
                <w:b/>
                <w:sz w:val="23"/>
                <w:lang w:val="en-US"/>
              </w:rPr>
              <w:t>not applicable (person has acquired t</w:t>
            </w:r>
            <w:r>
              <w:rPr>
                <w:b/>
                <w:sz w:val="23"/>
                <w:lang w:val="en-US"/>
              </w:rPr>
              <w:t>he right of direct order).</w:t>
            </w:r>
          </w:p>
          <w:p w14:paraId="0E9894C6" w14:textId="77777777" w:rsidR="00FD167E" w:rsidRDefault="00FC79F0" w:rsidP="00FD167E">
            <w:pPr>
              <w:pStyle w:val="TableParagraph"/>
              <w:ind w:left="0"/>
              <w:rPr>
                <w:b/>
                <w:sz w:val="21"/>
              </w:rPr>
            </w:pPr>
          </w:p>
          <w:p w14:paraId="0E9028EA" w14:textId="77777777" w:rsidR="00FD167E" w:rsidRDefault="00FC79F0" w:rsidP="00FD167E">
            <w:pPr>
              <w:pStyle w:val="TableParagraph"/>
              <w:numPr>
                <w:ilvl w:val="1"/>
                <w:numId w:val="2"/>
              </w:numPr>
              <w:tabs>
                <w:tab w:val="left" w:pos="672"/>
              </w:tabs>
              <w:ind w:left="0" w:firstLine="0"/>
              <w:jc w:val="both"/>
              <w:rPr>
                <w:b/>
                <w:i/>
                <w:sz w:val="23"/>
              </w:rPr>
            </w:pPr>
            <w:r>
              <w:rPr>
                <w:sz w:val="23"/>
                <w:lang w:val="en-US"/>
              </w:rPr>
              <w:t>An indication of the right to dispose a certain number of votes assigned to voting shares (stakes) that constitute the Issuer's authorized capital, which the respective entity acquired (independent disposition; joint disposition</w:t>
            </w:r>
            <w:r>
              <w:rPr>
                <w:sz w:val="23"/>
                <w:lang w:val="en-US"/>
              </w:rPr>
              <w:t xml:space="preserve"> with other entities): </w:t>
            </w:r>
            <w:r>
              <w:rPr>
                <w:b/>
                <w:i/>
                <w:sz w:val="23"/>
                <w:lang w:val="en-US"/>
              </w:rPr>
              <w:t>Independent disposition.</w:t>
            </w:r>
          </w:p>
          <w:p w14:paraId="4B7E64F2" w14:textId="77777777" w:rsidR="00FD167E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</w:p>
          <w:p w14:paraId="4AF3887E" w14:textId="77777777" w:rsidR="00FD167E" w:rsidRPr="00FD167E" w:rsidRDefault="00FC79F0" w:rsidP="00FD167E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</w:tabs>
              <w:ind w:left="0"/>
              <w:jc w:val="both"/>
              <w:rPr>
                <w:b/>
                <w:sz w:val="23"/>
              </w:rPr>
            </w:pPr>
            <w:r w:rsidRPr="00FD167E">
              <w:rPr>
                <w:sz w:val="23"/>
                <w:lang w:val="en-US"/>
              </w:rPr>
              <w:t>If the entity acquired the right of joint management - the full corporate name (for non-profit organization - name), location, TIN (if applicable), OGRN (if applicable) of each legal entity or the surname, name, second name (if any) of each individual with</w:t>
            </w:r>
            <w:r w:rsidRPr="00FD167E">
              <w:rPr>
                <w:sz w:val="23"/>
                <w:lang w:val="en-US"/>
              </w:rPr>
              <w:t xml:space="preserve"> whom the entity acquired the right to a certain number of votes assigned to the voting shares (stakes) that constitute the Issuer's authorized capital: </w:t>
            </w:r>
            <w:r w:rsidRPr="00FD167E">
              <w:rPr>
                <w:b/>
                <w:sz w:val="23"/>
                <w:lang w:val="en-US"/>
              </w:rPr>
              <w:t>not applicable (person has acquired the right of direct order).</w:t>
            </w:r>
          </w:p>
          <w:p w14:paraId="7BC83392" w14:textId="77777777" w:rsidR="00FD167E" w:rsidRDefault="00FC79F0" w:rsidP="00FD167E">
            <w:pPr>
              <w:pStyle w:val="TableParagraph"/>
              <w:ind w:left="0"/>
              <w:rPr>
                <w:b/>
              </w:rPr>
            </w:pPr>
          </w:p>
          <w:p w14:paraId="4A6F5429" w14:textId="77777777" w:rsidR="00FD167E" w:rsidRDefault="00FC79F0" w:rsidP="00FD167E">
            <w:pPr>
              <w:pStyle w:val="TableParagraph"/>
              <w:numPr>
                <w:ilvl w:val="1"/>
                <w:numId w:val="1"/>
              </w:numPr>
              <w:tabs>
                <w:tab w:val="left" w:pos="701"/>
              </w:tabs>
              <w:ind w:left="0" w:firstLine="0"/>
              <w:jc w:val="both"/>
              <w:rPr>
                <w:b/>
                <w:sz w:val="23"/>
              </w:rPr>
            </w:pPr>
            <w:r>
              <w:rPr>
                <w:sz w:val="23"/>
                <w:lang w:val="en-US"/>
              </w:rPr>
              <w:t xml:space="preserve">Grounds by virtue of which the entity </w:t>
            </w:r>
            <w:r>
              <w:rPr>
                <w:sz w:val="23"/>
                <w:lang w:val="en-US"/>
              </w:rPr>
              <w:t>acquired the right to a certain number of votes assigned to the voting shares (stakes) that constitute the Issuer's authorized capital (acquisition of a stake in the Issuer; conclusion of a property trust management agreement; conclusion of a simple partne</w:t>
            </w:r>
            <w:r>
              <w:rPr>
                <w:sz w:val="23"/>
                <w:lang w:val="en-US"/>
              </w:rPr>
              <w:t xml:space="preserve">rship agreement; conclusion of an assignment agreement; conclusion of a shareholder agreement; conclusion of another agreement, the subject of which is the exercise of rights certified by the Issuer's shares (stakes); other grounds: </w:t>
            </w:r>
            <w:r>
              <w:rPr>
                <w:b/>
                <w:sz w:val="23"/>
                <w:lang w:val="en-US"/>
              </w:rPr>
              <w:t>Participation in the is</w:t>
            </w:r>
            <w:r>
              <w:rPr>
                <w:b/>
                <w:sz w:val="23"/>
                <w:lang w:val="en-US"/>
              </w:rPr>
              <w:t>suer's authorized capital.</w:t>
            </w:r>
          </w:p>
          <w:p w14:paraId="2BFC86EE" w14:textId="77777777" w:rsidR="00FD167E" w:rsidRDefault="00FC79F0" w:rsidP="00FD167E">
            <w:pPr>
              <w:pStyle w:val="TableParagraph"/>
              <w:ind w:left="0"/>
              <w:rPr>
                <w:b/>
              </w:rPr>
            </w:pPr>
          </w:p>
          <w:p w14:paraId="11D130BB" w14:textId="77777777" w:rsidR="00FD167E" w:rsidRDefault="00FC79F0" w:rsidP="00FD167E">
            <w:pPr>
              <w:pStyle w:val="TableParagraph"/>
              <w:numPr>
                <w:ilvl w:val="1"/>
                <w:numId w:val="1"/>
              </w:numPr>
              <w:tabs>
                <w:tab w:val="left" w:pos="641"/>
              </w:tabs>
              <w:ind w:left="0" w:firstLine="0"/>
              <w:jc w:val="both"/>
              <w:rPr>
                <w:b/>
                <w:sz w:val="23"/>
              </w:rPr>
            </w:pPr>
            <w:r>
              <w:rPr>
                <w:sz w:val="23"/>
                <w:lang w:val="en-US"/>
              </w:rPr>
              <w:t xml:space="preserve">The number and percentage of votes assigned to voting shares (stakes) that constitute the Issuer's authorized capital, which the entity was entitled to before the respective reason: </w:t>
            </w:r>
            <w:r>
              <w:rPr>
                <w:b/>
                <w:sz w:val="23"/>
                <w:lang w:val="en-US"/>
              </w:rPr>
              <w:t>5,324,404,342 / 6,49 %.</w:t>
            </w:r>
          </w:p>
          <w:p w14:paraId="2147285D" w14:textId="77777777" w:rsidR="00FD167E" w:rsidRDefault="00FC79F0" w:rsidP="00FD167E">
            <w:pPr>
              <w:pStyle w:val="TableParagraph"/>
              <w:ind w:left="0"/>
              <w:rPr>
                <w:b/>
                <w:sz w:val="23"/>
              </w:rPr>
            </w:pPr>
          </w:p>
          <w:p w14:paraId="41E434A1" w14:textId="77777777" w:rsidR="00FD167E" w:rsidRDefault="00FC79F0" w:rsidP="00FD167E">
            <w:pPr>
              <w:pStyle w:val="TableParagraph"/>
              <w:numPr>
                <w:ilvl w:val="1"/>
                <w:numId w:val="1"/>
              </w:numPr>
              <w:tabs>
                <w:tab w:val="left" w:pos="641"/>
              </w:tabs>
              <w:ind w:left="0" w:firstLine="0"/>
              <w:jc w:val="both"/>
              <w:rPr>
                <w:b/>
                <w:sz w:val="23"/>
              </w:rPr>
            </w:pPr>
            <w:r>
              <w:rPr>
                <w:sz w:val="23"/>
                <w:lang w:val="en-US"/>
              </w:rPr>
              <w:t>The number and percen</w:t>
            </w:r>
            <w:r>
              <w:rPr>
                <w:sz w:val="23"/>
                <w:lang w:val="en-US"/>
              </w:rPr>
              <w:t xml:space="preserve">tage of votes assigned to the voting shares (stakes) that constitute the Issuer's authorized capital, the right to dispose of which was obtained by the entity after the respective reason: </w:t>
            </w:r>
            <w:r>
              <w:rPr>
                <w:b/>
                <w:sz w:val="23"/>
                <w:lang w:val="en-US"/>
              </w:rPr>
              <w:lastRenderedPageBreak/>
              <w:t>5,324,404,342 / 6,49 %.</w:t>
            </w:r>
          </w:p>
          <w:p w14:paraId="6AC3CAD8" w14:textId="77777777" w:rsidR="00FD167E" w:rsidRDefault="00FC79F0" w:rsidP="00FD167E">
            <w:pPr>
              <w:pStyle w:val="TableParagraph"/>
              <w:numPr>
                <w:ilvl w:val="1"/>
                <w:numId w:val="1"/>
              </w:numPr>
              <w:tabs>
                <w:tab w:val="left" w:pos="643"/>
              </w:tabs>
              <w:ind w:left="0" w:firstLine="0"/>
              <w:jc w:val="both"/>
              <w:rPr>
                <w:b/>
                <w:sz w:val="23"/>
              </w:rPr>
            </w:pPr>
            <w:r>
              <w:rPr>
                <w:sz w:val="23"/>
                <w:lang w:val="en-US"/>
              </w:rPr>
              <w:t>The date on which the entity acquired the ri</w:t>
            </w:r>
            <w:r>
              <w:rPr>
                <w:sz w:val="23"/>
                <w:lang w:val="en-US"/>
              </w:rPr>
              <w:t xml:space="preserve">ght to a certain number of votes assigned to the voting shares (stakes) that constitute the Issuer's authorized capital: </w:t>
            </w:r>
            <w:r>
              <w:rPr>
                <w:b/>
                <w:sz w:val="23"/>
                <w:lang w:val="en-US"/>
              </w:rPr>
              <w:t>September 16, 2019.</w:t>
            </w:r>
          </w:p>
          <w:p w14:paraId="7449AFCF" w14:textId="77777777" w:rsidR="00FD167E" w:rsidRDefault="00FC79F0" w:rsidP="00FD167E">
            <w:pPr>
              <w:pStyle w:val="TableParagraph"/>
              <w:numPr>
                <w:ilvl w:val="2"/>
                <w:numId w:val="1"/>
              </w:numPr>
              <w:tabs>
                <w:tab w:val="left" w:pos="850"/>
              </w:tabs>
              <w:ind w:left="0" w:firstLine="0"/>
              <w:jc w:val="both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The date on which the issuer became aware of the occurrence of the event by receiving a corresponding notice of the right to dispose of a certain number of votes of the issuer: </w:t>
            </w:r>
            <w:r>
              <w:rPr>
                <w:b/>
                <w:sz w:val="23"/>
                <w:lang w:val="en-US"/>
              </w:rPr>
              <w:t>September 25, 2019.</w:t>
            </w:r>
          </w:p>
        </w:tc>
      </w:tr>
      <w:tr w:rsidR="004C5776" w14:paraId="31D8C135" w14:textId="77777777" w:rsidTr="0003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CBE99" w14:textId="77777777" w:rsidR="00FD167E" w:rsidRDefault="00FC79F0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3. Signature</w:t>
            </w:r>
          </w:p>
        </w:tc>
      </w:tr>
      <w:tr w:rsidR="004C5776" w14:paraId="581156B9" w14:textId="77777777" w:rsidTr="0003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378EEFC" w14:textId="77777777" w:rsidR="00FD167E" w:rsidRDefault="00FC79F0" w:rsidP="00327AEE">
            <w:pPr>
              <w:pStyle w:val="TableParagraph"/>
              <w:ind w:left="0"/>
            </w:pPr>
            <w:r>
              <w:rPr>
                <w:sz w:val="24"/>
                <w:lang w:val="en-US"/>
              </w:rPr>
              <w:t>3.1. Head of Corporate Governance and Shareh</w:t>
            </w:r>
            <w:r>
              <w:rPr>
                <w:sz w:val="24"/>
                <w:lang w:val="en-US"/>
              </w:rPr>
              <w:t>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3175267E" w14:textId="77777777" w:rsidR="00FD167E" w:rsidRDefault="00FC7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76528DA8" w14:textId="77777777" w:rsidR="00FD167E" w:rsidRDefault="00FC7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4C5776" w14:paraId="301CC44D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2C38D83E" w14:textId="77777777" w:rsidR="00FD167E" w:rsidRDefault="00FC7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1BCC7E9E" w14:textId="5B3A6E56" w:rsidR="00FD167E" w:rsidRDefault="00FC7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0F2240CD" w14:textId="77777777" w:rsidR="00FD167E" w:rsidRDefault="00FC7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4C5776" w14:paraId="722A898F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AA390EB" w14:textId="77777777" w:rsidR="00FD167E" w:rsidRDefault="00FC79F0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4FFB6422" w14:textId="77777777" w:rsidR="00FD167E" w:rsidRPr="00F33787" w:rsidRDefault="00FC79F0" w:rsidP="00FD167E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September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A3D413E" w14:textId="77777777" w:rsidR="00FD167E" w:rsidRPr="00F33787" w:rsidRDefault="00FC79F0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  <w:lang w:val="en-US"/>
              </w:rPr>
              <w:t>"26",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AFCE003" w14:textId="77777777" w:rsidR="00FD167E" w:rsidRPr="00F33787" w:rsidRDefault="00FC79F0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4EC352C" w14:textId="77777777" w:rsidR="00FD167E" w:rsidRDefault="00FC79F0" w:rsidP="00FD167E"/>
    <w:sectPr w:rsidR="00FD167E" w:rsidSect="00D06535">
      <w:pgSz w:w="11910" w:h="16850"/>
      <w:pgMar w:top="86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97C"/>
    <w:multiLevelType w:val="multilevel"/>
    <w:tmpl w:val="B6AED11E"/>
    <w:lvl w:ilvl="0">
      <w:start w:val="2"/>
      <w:numFmt w:val="decimal"/>
      <w:lvlText w:val="%1"/>
      <w:lvlJc w:val="left"/>
      <w:pPr>
        <w:ind w:left="170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04"/>
        <w:jc w:val="left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7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1" w:hanging="404"/>
      </w:pPr>
      <w:rPr>
        <w:rFonts w:hint="default"/>
        <w:lang w:val="ru-RU" w:eastAsia="ru-RU" w:bidi="ru-RU"/>
      </w:rPr>
    </w:lvl>
  </w:abstractNum>
  <w:abstractNum w:abstractNumId="1" w15:restartNumberingAfterBreak="0">
    <w:nsid w:val="47B06218"/>
    <w:multiLevelType w:val="multilevel"/>
    <w:tmpl w:val="A81E3490"/>
    <w:lvl w:ilvl="0">
      <w:start w:val="2"/>
      <w:numFmt w:val="decimal"/>
      <w:lvlText w:val="%1"/>
      <w:lvlJc w:val="left"/>
      <w:pPr>
        <w:ind w:left="170" w:hanging="531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0" w:hanging="531"/>
        <w:jc w:val="left"/>
      </w:pPr>
      <w:rPr>
        <w:rFonts w:ascii="Times New Roman" w:eastAsia="Times New Roman" w:hAnsi="Times New Roman" w:cs="Times New Roman" w:hint="default"/>
        <w:b w:val="0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34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8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776"/>
    <w:rsid w:val="004C5776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6C4A"/>
  <w15:docId w15:val="{86A95A50-9111-4D8D-A693-85A04E5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065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06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6535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D06535"/>
  </w:style>
  <w:style w:type="paragraph" w:customStyle="1" w:styleId="TableParagraph">
    <w:name w:val="Table Paragraph"/>
    <w:basedOn w:val="a"/>
    <w:uiPriority w:val="1"/>
    <w:qFormat/>
    <w:rsid w:val="00D06535"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2019-12-29T09:23:00Z</dcterms:created>
  <dcterms:modified xsi:type="dcterms:W3CDTF">2020-01-20T13:33:00Z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